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4"/>
        </w:rPr>
        <w:t>SARS Registered Representative (Public Officer) Registration</w:t>
      </w:r>
    </w:p>
    <w:p>
      <w:pPr>
        <w:spacing w:before="0" w:after="280"/>
      </w:pPr>
      <w:r>
        <w:rPr>
          <w:rFonts w:ascii="Arial" w:hAnsi="Arial"/>
          <w:color w:val="6B7280"/>
          <w:sz w:val="19"/>
        </w:rPr>
        <w:t>To file corporate taxes, access SARS eFiling profiles, and issue Tax Clearance PINs, every South African company must legally register its Public Officer. Use this guide to prevent common rejection pitfalls on the SARS Online Query System (SOQS) and link your entity profile smoothly.</w:t>
      </w:r>
    </w:p>
    <w:p>
      <w:pPr>
        <w:keepNext/>
        <w:spacing w:before="280" w:after="80"/>
      </w:pPr>
      <w:r>
        <w:rPr>
          <w:rFonts w:ascii="Arial" w:hAnsi="Arial"/>
          <w:b/>
          <w:color w:val="2B2F38"/>
          <w:sz w:val="23"/>
        </w:rPr>
        <w:t>1. Entity &amp; Public Officer Statutory Details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Collect all official company and personal tax details before opening the SARS Online Query System (SOQS). Notice: The Public Officer is legally responsible for the entity's tax declarations and liabilities under the Tax Administration Act.</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600"/>
        <w:gridCol w:w="6005"/>
      </w:tblGrid>
      <w:tr>
        <w:tc>
          <w:tcPr>
            <w:tcW w:type="dxa" w:w="4802"/>
            <w:shd w:fill="E5E7EB"/>
            <w:tcMar>
              <w:top w:w="100" w:type="dxa"/>
              <w:bottom w:w="100" w:type="dxa"/>
              <w:left w:w="100" w:type="dxa"/>
              <w:right w:w="100" w:type="dxa"/>
            </w:tcMar>
          </w:tcPr>
          <w:p>
            <w:r>
              <w:rPr>
                <w:rFonts w:ascii="Arial" w:hAnsi="Arial"/>
                <w:b/>
                <w:color w:val="2B2F38"/>
                <w:sz w:val="18"/>
              </w:rPr>
              <w:t>Registration Field</w:t>
            </w:r>
          </w:p>
        </w:tc>
        <w:tc>
          <w:tcPr>
            <w:tcW w:type="dxa" w:w="4802"/>
            <w:shd w:fill="E5E7EB"/>
            <w:tcMar>
              <w:top w:w="100" w:type="dxa"/>
              <w:bottom w:w="100" w:type="dxa"/>
              <w:left w:w="100" w:type="dxa"/>
              <w:right w:w="100" w:type="dxa"/>
            </w:tcMar>
          </w:tcPr>
          <w:p>
            <w:r>
              <w:rPr>
                <w:rFonts w:ascii="Arial" w:hAnsi="Arial"/>
                <w:b/>
                <w:color w:val="2B2F38"/>
                <w:sz w:val="18"/>
              </w:rPr>
              <w:t>Statutory Data / Reference Value</w:t>
            </w:r>
          </w:p>
        </w:tc>
      </w:tr>
      <w:tr>
        <w:tc>
          <w:tcPr>
            <w:tcW w:type="dxa" w:w="4802"/>
            <w:tcMar>
              <w:top w:w="100" w:type="dxa"/>
              <w:bottom w:w="100" w:type="dxa"/>
              <w:left w:w="100" w:type="dxa"/>
              <w:right w:w="100" w:type="dxa"/>
            </w:tcMar>
          </w:tcPr>
          <w:p>
            <w:r>
              <w:rPr>
                <w:rFonts w:ascii="Arial" w:hAnsi="Arial"/>
                <w:b/>
                <w:color w:val="2B2F38"/>
                <w:sz w:val="17"/>
              </w:rPr>
              <w:t>Entity Classification &amp; Name</w:t>
            </w:r>
          </w:p>
        </w:tc>
        <w:tc>
          <w:tcPr>
            <w:tcW w:type="dxa" w:w="4802"/>
            <w:tcMar>
              <w:top w:w="100" w:type="dxa"/>
              <w:bottom w:w="100" w:type="dxa"/>
              <w:left w:w="100" w:type="dxa"/>
              <w:right w:w="100" w:type="dxa"/>
            </w:tcMar>
          </w:tcPr>
          <w:p>
            <w:r>
              <w:rPr>
                <w:rFonts w:ascii="Arial" w:hAnsi="Arial"/>
                <w:color w:val="2B2F38"/>
                <w:sz w:val="17"/>
              </w:rPr>
              <w:t>Entity: Company  |  Registered Name: ________________________________</w:t>
            </w:r>
          </w:p>
        </w:tc>
      </w:tr>
      <w:tr>
        <w:tc>
          <w:tcPr>
            <w:tcW w:type="dxa" w:w="4802"/>
            <w:tcMar>
              <w:top w:w="100" w:type="dxa"/>
              <w:bottom w:w="100" w:type="dxa"/>
              <w:left w:w="100" w:type="dxa"/>
              <w:right w:w="100" w:type="dxa"/>
            </w:tcMar>
          </w:tcPr>
          <w:p>
            <w:r>
              <w:rPr>
                <w:rFonts w:ascii="Arial" w:hAnsi="Arial"/>
                <w:b/>
                <w:color w:val="2B2F38"/>
                <w:sz w:val="17"/>
              </w:rPr>
              <w:t>Company Income Tax Number</w:t>
            </w:r>
            <w:r>
              <w:br/>
            </w:r>
            <w:r>
              <w:rPr>
                <w:rFonts w:ascii="Arial" w:hAnsi="Arial"/>
                <w:color w:val="D4A243"/>
                <w:sz w:val="15"/>
              </w:rPr>
              <w:t>(10 Digits)</w:t>
            </w:r>
          </w:p>
        </w:tc>
        <w:tc>
          <w:tcPr>
            <w:tcW w:type="dxa" w:w="4802"/>
            <w:tcMar>
              <w:top w:w="100" w:type="dxa"/>
              <w:bottom w:w="100" w:type="dxa"/>
              <w:left w:w="100" w:type="dxa"/>
              <w:right w:w="100" w:type="dxa"/>
            </w:tcMar>
          </w:tcPr>
          <w:p>
            <w:r>
              <w:rPr>
                <w:rFonts w:ascii="Arial" w:hAnsi="Arial"/>
                <w:color w:val="2B2F38"/>
                <w:sz w:val="17"/>
              </w:rPr>
              <w:t>Tax Ref: ____________________ (From SARS notification SMS/email)</w:t>
            </w:r>
          </w:p>
        </w:tc>
      </w:tr>
      <w:tr>
        <w:tc>
          <w:tcPr>
            <w:tcW w:type="dxa" w:w="4802"/>
            <w:tcMar>
              <w:top w:w="100" w:type="dxa"/>
              <w:bottom w:w="100" w:type="dxa"/>
              <w:left w:w="100" w:type="dxa"/>
              <w:right w:w="100" w:type="dxa"/>
            </w:tcMar>
          </w:tcPr>
          <w:p>
            <w:r>
              <w:rPr>
                <w:rFonts w:ascii="Arial" w:hAnsi="Arial"/>
                <w:b/>
                <w:color w:val="2B2F38"/>
                <w:sz w:val="17"/>
              </w:rPr>
              <w:t>CIPC Company Registration Number</w:t>
            </w:r>
            <w:r>
              <w:br/>
            </w:r>
            <w:r>
              <w:rPr>
                <w:rFonts w:ascii="Arial" w:hAnsi="Arial"/>
                <w:color w:val="D4A243"/>
                <w:sz w:val="15"/>
              </w:rPr>
              <w:t>(Must include slashes)</w:t>
            </w:r>
          </w:p>
        </w:tc>
        <w:tc>
          <w:tcPr>
            <w:tcW w:type="dxa" w:w="4802"/>
            <w:tcMar>
              <w:top w:w="100" w:type="dxa"/>
              <w:bottom w:w="100" w:type="dxa"/>
              <w:left w:w="100" w:type="dxa"/>
              <w:right w:w="100" w:type="dxa"/>
            </w:tcMar>
          </w:tcPr>
          <w:p>
            <w:r>
              <w:rPr>
                <w:rFonts w:ascii="Arial" w:hAnsi="Arial"/>
                <w:color w:val="2B2F38"/>
                <w:sz w:val="17"/>
              </w:rPr>
              <w:t>Reg No: 20____ / ________ / 07  [  ] Verified: Slashes included</w:t>
            </w:r>
          </w:p>
        </w:tc>
      </w:tr>
      <w:tr>
        <w:tc>
          <w:tcPr>
            <w:tcW w:type="dxa" w:w="4802"/>
            <w:tcMar>
              <w:top w:w="100" w:type="dxa"/>
              <w:bottom w:w="100" w:type="dxa"/>
              <w:left w:w="100" w:type="dxa"/>
              <w:right w:w="100" w:type="dxa"/>
            </w:tcMar>
          </w:tcPr>
          <w:p>
            <w:r>
              <w:rPr>
                <w:rFonts w:ascii="Arial" w:hAnsi="Arial"/>
                <w:b/>
                <w:color w:val="2B2F38"/>
                <w:sz w:val="17"/>
              </w:rPr>
              <w:t>Appointed Capacity</w:t>
            </w:r>
          </w:p>
        </w:tc>
        <w:tc>
          <w:tcPr>
            <w:tcW w:type="dxa" w:w="4802"/>
            <w:tcMar>
              <w:top w:w="100" w:type="dxa"/>
              <w:bottom w:w="100" w:type="dxa"/>
              <w:left w:w="100" w:type="dxa"/>
              <w:right w:w="100" w:type="dxa"/>
            </w:tcMar>
          </w:tcPr>
          <w:p>
            <w:r>
              <w:rPr>
                <w:rFonts w:ascii="Arial" w:hAnsi="Arial"/>
                <w:color w:val="2B2F38"/>
                <w:sz w:val="17"/>
              </w:rPr>
              <w:t>Public Officer (Standard designation for owner-directors)</w:t>
            </w:r>
          </w:p>
        </w:tc>
      </w:tr>
      <w:tr>
        <w:tc>
          <w:tcPr>
            <w:tcW w:type="dxa" w:w="4802"/>
            <w:tcMar>
              <w:top w:w="100" w:type="dxa"/>
              <w:bottom w:w="100" w:type="dxa"/>
              <w:left w:w="100" w:type="dxa"/>
              <w:right w:w="100" w:type="dxa"/>
            </w:tcMar>
          </w:tcPr>
          <w:p>
            <w:r>
              <w:rPr>
                <w:rFonts w:ascii="Arial" w:hAnsi="Arial"/>
                <w:b/>
                <w:color w:val="2B2F38"/>
                <w:sz w:val="17"/>
              </w:rPr>
              <w:t>Representative Full Legal Names</w:t>
            </w:r>
          </w:p>
        </w:tc>
        <w:tc>
          <w:tcPr>
            <w:tcW w:type="dxa" w:w="4802"/>
            <w:tcMar>
              <w:top w:w="100" w:type="dxa"/>
              <w:bottom w:w="100" w:type="dxa"/>
              <w:left w:w="100" w:type="dxa"/>
              <w:right w:w="100" w:type="dxa"/>
            </w:tcMar>
          </w:tcPr>
          <w:p>
            <w:r>
              <w:rPr>
                <w:rFonts w:ascii="Arial" w:hAnsi="Arial"/>
                <w:color w:val="2B2F38"/>
                <w:sz w:val="17"/>
              </w:rPr>
              <w:t>Full Name: _____________________________________________________</w:t>
            </w:r>
          </w:p>
        </w:tc>
      </w:tr>
      <w:tr>
        <w:tc>
          <w:tcPr>
            <w:tcW w:type="dxa" w:w="4802"/>
            <w:tcMar>
              <w:top w:w="100" w:type="dxa"/>
              <w:bottom w:w="100" w:type="dxa"/>
              <w:left w:w="100" w:type="dxa"/>
              <w:right w:w="100" w:type="dxa"/>
            </w:tcMar>
          </w:tcPr>
          <w:p>
            <w:r>
              <w:rPr>
                <w:rFonts w:ascii="Arial" w:hAnsi="Arial"/>
                <w:b/>
                <w:color w:val="2B2F38"/>
                <w:sz w:val="17"/>
              </w:rPr>
              <w:t>Representative Identification</w:t>
            </w:r>
          </w:p>
        </w:tc>
        <w:tc>
          <w:tcPr>
            <w:tcW w:type="dxa" w:w="4802"/>
            <w:tcMar>
              <w:top w:w="100" w:type="dxa"/>
              <w:bottom w:w="100" w:type="dxa"/>
              <w:left w:w="100" w:type="dxa"/>
              <w:right w:w="100" w:type="dxa"/>
            </w:tcMar>
          </w:tcPr>
          <w:p>
            <w:r>
              <w:rPr>
                <w:rFonts w:ascii="Arial" w:hAnsi="Arial"/>
                <w:color w:val="2B2F38"/>
                <w:sz w:val="17"/>
              </w:rPr>
              <w:t>SA ID / Passport: ____________________  |  Tax Ref: ___________________</w:t>
            </w:r>
          </w:p>
        </w:tc>
      </w:tr>
    </w:tbl>
    <w:p>
      <w:pPr>
        <w:spacing w:before="80" w:after="40"/>
      </w:pPr>
    </w:p>
    <w:p>
      <w:pPr>
        <w:keepNext/>
        <w:spacing w:before="280" w:after="80"/>
      </w:pPr>
      <w:r>
        <w:rPr>
          <w:rFonts w:ascii="Arial" w:hAnsi="Arial"/>
          <w:b/>
          <w:color w:val="2B2F38"/>
          <w:sz w:val="23"/>
        </w:rPr>
        <w:t>2. Navigating the SARS Online Query System (SOQS)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Follow this exact digital pathway on the SARS portal to lodge your appointment without requiring an in-person branch appointment.</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Portal Navigation Stage</w:t>
            </w:r>
          </w:p>
        </w:tc>
        <w:tc>
          <w:tcPr>
            <w:tcW w:type="dxa" w:w="3202"/>
            <w:shd w:fill="E5E7EB"/>
            <w:tcMar>
              <w:top w:w="100" w:type="dxa"/>
              <w:bottom w:w="100" w:type="dxa"/>
              <w:left w:w="100" w:type="dxa"/>
              <w:right w:w="100" w:type="dxa"/>
            </w:tcMar>
          </w:tcPr>
          <w:p>
            <w:pPr>
              <w:jc w:val="left"/>
            </w:pPr>
            <w:r>
              <w:rPr>
                <w:rFonts w:ascii="Arial" w:hAnsi="Arial"/>
                <w:b/>
                <w:color w:val="2B2F38"/>
                <w:sz w:val="18"/>
              </w:rPr>
              <w:t>Required Action &amp; System Instructions</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Access SOQS Platform</w:t>
            </w:r>
          </w:p>
        </w:tc>
        <w:tc>
          <w:tcPr>
            <w:tcW w:type="dxa" w:w="3202"/>
            <w:tcMar>
              <w:top w:w="100" w:type="dxa"/>
              <w:bottom w:w="100" w:type="dxa"/>
              <w:left w:w="100" w:type="dxa"/>
              <w:right w:w="100" w:type="dxa"/>
            </w:tcMar>
          </w:tcPr>
          <w:p>
            <w:r>
              <w:rPr>
                <w:rFonts w:ascii="Arial" w:hAnsi="Arial"/>
                <w:color w:val="6B7280"/>
                <w:sz w:val="16"/>
              </w:rPr>
              <w:t>Visit the official SARS portal (sars.gov.za) and locate the 'SARS Online Query System (SOQS)' service banner.</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Select Service Category</w:t>
            </w:r>
          </w:p>
        </w:tc>
        <w:tc>
          <w:tcPr>
            <w:tcW w:type="dxa" w:w="3202"/>
            <w:tcMar>
              <w:top w:w="100" w:type="dxa"/>
              <w:bottom w:w="100" w:type="dxa"/>
              <w:left w:w="100" w:type="dxa"/>
              <w:right w:w="100" w:type="dxa"/>
            </w:tcMar>
          </w:tcPr>
          <w:p>
            <w:r>
              <w:rPr>
                <w:rFonts w:ascii="Arial" w:hAnsi="Arial"/>
                <w:color w:val="6B7280"/>
                <w:sz w:val="16"/>
              </w:rPr>
              <w:t>Under query types, select: 'Request to be updated as the Registered Representative'.</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Capture Entity &amp; Officer Data</w:t>
            </w:r>
          </w:p>
        </w:tc>
        <w:tc>
          <w:tcPr>
            <w:tcW w:type="dxa" w:w="3202"/>
            <w:tcMar>
              <w:top w:w="100" w:type="dxa"/>
              <w:bottom w:w="100" w:type="dxa"/>
              <w:left w:w="100" w:type="dxa"/>
              <w:right w:w="100" w:type="dxa"/>
            </w:tcMar>
          </w:tcPr>
          <w:p>
            <w:r>
              <w:rPr>
                <w:rFonts w:ascii="Arial" w:hAnsi="Arial"/>
                <w:color w:val="6B7280"/>
                <w:sz w:val="16"/>
              </w:rPr>
              <w:t>Select entity type 'Company', then input company tax number, CIPC number with slashes, and representative ID details.</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Upload Compliance Pack &amp; Submit</w:t>
            </w:r>
          </w:p>
        </w:tc>
        <w:tc>
          <w:tcPr>
            <w:tcW w:type="dxa" w:w="3202"/>
            <w:tcMar>
              <w:top w:w="100" w:type="dxa"/>
              <w:bottom w:w="100" w:type="dxa"/>
              <w:left w:w="100" w:type="dxa"/>
              <w:right w:w="100" w:type="dxa"/>
            </w:tcMar>
          </w:tcPr>
          <w:p>
            <w:r>
              <w:rPr>
                <w:rFonts w:ascii="Arial" w:hAnsi="Arial"/>
                <w:color w:val="6B7280"/>
                <w:sz w:val="16"/>
              </w:rPr>
              <w:t>Attach the 4 mandatory files (Section 3 &amp; 4), submit query, and immediately record your allocated case reference number.</w:t>
            </w:r>
          </w:p>
        </w:tc>
      </w:tr>
    </w:tbl>
    <w:p>
      <w:pPr>
        <w:spacing w:before="80" w:after="40"/>
      </w:pPr>
    </w:p>
    <w:p>
      <w:pPr>
        <w:keepNext/>
        <w:spacing w:before="280" w:after="80"/>
      </w:pPr>
      <w:r>
        <w:rPr>
          <w:rFonts w:ascii="Arial" w:hAnsi="Arial"/>
          <w:b/>
          <w:color w:val="2B2F38"/>
          <w:sz w:val="23"/>
        </w:rPr>
        <w:t>3. Mandatory Supporting Documents (Preventing Rejection Traps)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SARS automatically rejects submissions that fail strict compliance parameters. Review and check every technical specification below.</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5285"/>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Mandatory Document</w:t>
            </w:r>
          </w:p>
        </w:tc>
        <w:tc>
          <w:tcPr>
            <w:tcW w:type="dxa" w:w="3202"/>
            <w:shd w:fill="E5E7EB"/>
            <w:tcMar>
              <w:top w:w="100" w:type="dxa"/>
              <w:bottom w:w="100" w:type="dxa"/>
              <w:left w:w="100" w:type="dxa"/>
              <w:right w:w="100" w:type="dxa"/>
            </w:tcMar>
          </w:tcPr>
          <w:p>
            <w:pPr>
              <w:jc w:val="left"/>
            </w:pPr>
            <w:r>
              <w:rPr>
                <w:rFonts w:ascii="Arial" w:hAnsi="Arial"/>
                <w:b/>
                <w:color w:val="2B2F38"/>
                <w:sz w:val="18"/>
              </w:rPr>
              <w:t>SARS Technical Standard &amp; Common Failure Trap</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Board Appointment Resolution</w:t>
            </w:r>
            <w:r>
              <w:br/>
            </w:r>
            <w:r>
              <w:rPr>
                <w:rFonts w:ascii="Arial" w:hAnsi="Arial"/>
                <w:color w:val="D4A243"/>
                <w:sz w:val="15"/>
              </w:rPr>
              <w:t>(Representative Mandate)</w:t>
            </w:r>
          </w:p>
        </w:tc>
        <w:tc>
          <w:tcPr>
            <w:tcW w:type="dxa" w:w="3202"/>
            <w:tcMar>
              <w:top w:w="100" w:type="dxa"/>
              <w:bottom w:w="100" w:type="dxa"/>
              <w:left w:w="100" w:type="dxa"/>
              <w:right w:w="100" w:type="dxa"/>
            </w:tcMar>
          </w:tcPr>
          <w:p>
            <w:r>
              <w:rPr>
                <w:rFonts w:ascii="Arial" w:hAnsi="Arial"/>
                <w:color w:val="6B7280"/>
                <w:sz w:val="16"/>
              </w:rPr>
              <w:t>Formal company resolution signed by all directors appointing the Public Officer. (Highly recommended even if sole director to avoid manual query delays).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Official CIPC Certificate</w:t>
            </w:r>
            <w:r>
              <w:br/>
            </w:r>
            <w:r>
              <w:rPr>
                <w:rFonts w:ascii="Arial" w:hAnsi="Arial"/>
                <w:color w:val="D4A243"/>
                <w:sz w:val="15"/>
              </w:rPr>
              <w:t>(CoR 14.3 / CoR 15.1A)</w:t>
            </w:r>
          </w:p>
        </w:tc>
        <w:tc>
          <w:tcPr>
            <w:tcW w:type="dxa" w:w="3202"/>
            <w:tcMar>
              <w:top w:w="100" w:type="dxa"/>
              <w:bottom w:w="100" w:type="dxa"/>
              <w:left w:w="100" w:type="dxa"/>
              <w:right w:w="100" w:type="dxa"/>
            </w:tcMar>
          </w:tcPr>
          <w:p>
            <w:r>
              <w:rPr>
                <w:rFonts w:ascii="Arial" w:hAnsi="Arial"/>
                <w:color w:val="6B7280"/>
                <w:sz w:val="16"/>
              </w:rPr>
              <w:t>Official certificate of incorporation proving valid CIPC status and reflecting active directorships matching the application.</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Certified Representative ID</w:t>
            </w:r>
            <w:r>
              <w:br/>
            </w:r>
            <w:r>
              <w:rPr>
                <w:rFonts w:ascii="Arial" w:hAnsi="Arial"/>
                <w:color w:val="D4A243"/>
                <w:sz w:val="15"/>
              </w:rPr>
              <w:t>(STRICT: Single-Page Rule)</w:t>
            </w:r>
          </w:p>
        </w:tc>
        <w:tc>
          <w:tcPr>
            <w:tcW w:type="dxa" w:w="3202"/>
            <w:tcMar>
              <w:top w:w="100" w:type="dxa"/>
              <w:bottom w:w="100" w:type="dxa"/>
              <w:left w:w="100" w:type="dxa"/>
              <w:right w:w="100" w:type="dxa"/>
            </w:tcMar>
          </w:tcPr>
          <w:p>
            <w:r>
              <w:rPr>
                <w:rFonts w:ascii="Arial" w:hAnsi="Arial"/>
                <w:color w:val="6B7280"/>
                <w:sz w:val="16"/>
              </w:rPr>
              <w:t>• Certified by SAPS or Commissioner of Oaths (&lt; 3 months old).</w:t>
              <w:br/>
              <w:t>• CRITICAL: Front AND Back of smart ID card MUST be scanned on ONE SINGLE page. Multiple pages trigger instant rejection.</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Proof of Residential Address</w:t>
            </w:r>
            <w:r>
              <w:br/>
            </w:r>
            <w:r>
              <w:rPr>
                <w:rFonts w:ascii="Arial" w:hAnsi="Arial"/>
                <w:color w:val="D4A243"/>
                <w:sz w:val="15"/>
              </w:rPr>
              <w:t>(&lt; 3 Months Old)</w:t>
            </w:r>
          </w:p>
        </w:tc>
        <w:tc>
          <w:tcPr>
            <w:tcW w:type="dxa" w:w="3202"/>
            <w:tcMar>
              <w:top w:w="100" w:type="dxa"/>
              <w:bottom w:w="100" w:type="dxa"/>
              <w:left w:w="100" w:type="dxa"/>
              <w:right w:w="100" w:type="dxa"/>
            </w:tcMar>
          </w:tcPr>
          <w:p>
            <w:r>
              <w:rPr>
                <w:rFonts w:ascii="Arial" w:hAnsi="Arial"/>
                <w:color w:val="6B7280"/>
                <w:sz w:val="16"/>
              </w:rPr>
              <w:t>Municipal utility bill, rates account, or formal lease in the representative's personal name, strictly dated within the last 90 days.</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4. The 'Update My Details' Selfie Protocol Checklist</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The verification selfie is the #1 rejection trigger across SOQS. SARS officials must be able to visually cross-verify the face and read the text on the held ID card.</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5285"/>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Selfie Compliance Standard</w:t>
            </w:r>
          </w:p>
        </w:tc>
        <w:tc>
          <w:tcPr>
            <w:tcW w:type="dxa" w:w="3202"/>
            <w:shd w:fill="E5E7EB"/>
            <w:tcMar>
              <w:top w:w="100" w:type="dxa"/>
              <w:bottom w:w="100" w:type="dxa"/>
              <w:left w:w="100" w:type="dxa"/>
              <w:right w:w="100" w:type="dxa"/>
            </w:tcMar>
          </w:tcPr>
          <w:p>
            <w:pPr>
              <w:jc w:val="left"/>
            </w:pPr>
            <w:r>
              <w:rPr>
                <w:rFonts w:ascii="Arial" w:hAnsi="Arial"/>
                <w:b/>
                <w:color w:val="2B2F38"/>
                <w:sz w:val="18"/>
              </w:rPr>
              <w:t>Mandatory Photo Requirement</w:t>
            </w:r>
          </w:p>
        </w:tc>
        <w:tc>
          <w:tcPr>
            <w:tcW w:type="dxa" w:w="3202"/>
            <w:shd w:fill="E5E7EB"/>
            <w:tcMar>
              <w:top w:w="100" w:type="dxa"/>
              <w:bottom w:w="100" w:type="dxa"/>
              <w:left w:w="100" w:type="dxa"/>
              <w:right w:w="100" w:type="dxa"/>
            </w:tcMar>
          </w:tcPr>
          <w:p>
            <w:pPr>
              <w:jc w:val="center"/>
            </w:pPr>
            <w:r>
              <w:rPr>
                <w:rFonts w:ascii="Arial" w:hAnsi="Arial"/>
                <w:b/>
                <w:color w:val="2B2F38"/>
                <w:sz w:val="18"/>
              </w:rPr>
              <w:t>Verified</w:t>
            </w:r>
          </w:p>
        </w:tc>
      </w:tr>
      <w:tr>
        <w:tc>
          <w:tcPr>
            <w:tcW w:type="dxa" w:w="3202"/>
            <w:tcMar>
              <w:top w:w="100" w:type="dxa"/>
              <w:bottom w:w="100" w:type="dxa"/>
              <w:left w:w="100" w:type="dxa"/>
              <w:right w:w="100" w:type="dxa"/>
            </w:tcMar>
          </w:tcPr>
          <w:p>
            <w:r>
              <w:rPr>
                <w:rFonts w:ascii="Arial" w:hAnsi="Arial"/>
                <w:b/>
                <w:color w:val="2B2F38"/>
                <w:sz w:val="17"/>
              </w:rPr>
              <w:t>Live Photo Date</w:t>
            </w:r>
          </w:p>
        </w:tc>
        <w:tc>
          <w:tcPr>
            <w:tcW w:type="dxa" w:w="3202"/>
            <w:tcMar>
              <w:top w:w="100" w:type="dxa"/>
              <w:bottom w:w="100" w:type="dxa"/>
              <w:left w:w="100" w:type="dxa"/>
              <w:right w:w="100" w:type="dxa"/>
            </w:tcMar>
          </w:tcPr>
          <w:p>
            <w:r>
              <w:rPr>
                <w:rFonts w:ascii="Arial" w:hAnsi="Arial"/>
                <w:color w:val="6B7280"/>
                <w:sz w:val="16"/>
              </w:rPr>
              <w:t>Photo taken on the exact date of submission (metadata checked by SARS).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Physical ID Card Held Up</w:t>
            </w:r>
          </w:p>
        </w:tc>
        <w:tc>
          <w:tcPr>
            <w:tcW w:type="dxa" w:w="3202"/>
            <w:tcMar>
              <w:top w:w="100" w:type="dxa"/>
              <w:bottom w:w="100" w:type="dxa"/>
              <w:left w:w="100" w:type="dxa"/>
              <w:right w:w="100" w:type="dxa"/>
            </w:tcMar>
          </w:tcPr>
          <w:p>
            <w:r>
              <w:rPr>
                <w:rFonts w:ascii="Arial" w:hAnsi="Arial"/>
                <w:color w:val="6B7280"/>
                <w:sz w:val="16"/>
              </w:rPr>
              <w:t>Clearly holding your physical original SA ID card or book next to your face without covering features.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Handwritten Note Included</w:t>
            </w:r>
          </w:p>
        </w:tc>
        <w:tc>
          <w:tcPr>
            <w:tcW w:type="dxa" w:w="3202"/>
            <w:tcMar>
              <w:top w:w="100" w:type="dxa"/>
              <w:bottom w:w="100" w:type="dxa"/>
              <w:left w:w="100" w:type="dxa"/>
              <w:right w:w="100" w:type="dxa"/>
            </w:tcMar>
          </w:tcPr>
          <w:p>
            <w:r>
              <w:rPr>
                <w:rFonts w:ascii="Arial" w:hAnsi="Arial"/>
                <w:color w:val="6B7280"/>
                <w:sz w:val="16"/>
              </w:rPr>
              <w:t>Holding a clear paper note handwritten in dark ink reading exactly: 'Update my details'.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Sharp Text Legibility Check</w:t>
            </w:r>
          </w:p>
        </w:tc>
        <w:tc>
          <w:tcPr>
            <w:tcW w:type="dxa" w:w="3202"/>
            <w:tcMar>
              <w:top w:w="100" w:type="dxa"/>
              <w:bottom w:w="100" w:type="dxa"/>
              <w:left w:w="100" w:type="dxa"/>
              <w:right w:w="100" w:type="dxa"/>
            </w:tcMar>
          </w:tcPr>
          <w:p>
            <w:r>
              <w:rPr>
                <w:rFonts w:ascii="Arial" w:hAnsi="Arial"/>
                <w:color w:val="6B7280"/>
                <w:sz w:val="16"/>
              </w:rPr>
              <w:t>Zoom in 100% on the image: Ensure names, ID number, and note text are razor-sharp. No glare or blur.</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5. Case Tracking &amp; Post-Approval eFiling Activation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Track your application through the standard 21-business-day processing window and complete profile activation once approved.</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4709"/>
        <w:gridCol w:w="1728"/>
      </w:tblGrid>
      <w:tr>
        <w:tc>
          <w:tcPr>
            <w:tcW w:type="dxa" w:w="3202"/>
            <w:shd w:fill="E5E7EB"/>
            <w:tcMar>
              <w:top w:w="100" w:type="dxa"/>
              <w:bottom w:w="100" w:type="dxa"/>
              <w:left w:w="100" w:type="dxa"/>
              <w:right w:w="100" w:type="dxa"/>
            </w:tcMar>
          </w:tcPr>
          <w:p>
            <w:pPr>
              <w:jc w:val="left"/>
            </w:pPr>
            <w:r>
              <w:rPr>
                <w:rFonts w:ascii="Arial" w:hAnsi="Arial"/>
                <w:b/>
                <w:color w:val="2B2F38"/>
                <w:sz w:val="18"/>
              </w:rPr>
              <w:t>Tracking / Activation Phase</w:t>
            </w:r>
          </w:p>
        </w:tc>
        <w:tc>
          <w:tcPr>
            <w:tcW w:type="dxa" w:w="3202"/>
            <w:shd w:fill="E5E7EB"/>
            <w:tcMar>
              <w:top w:w="100" w:type="dxa"/>
              <w:bottom w:w="100" w:type="dxa"/>
              <w:left w:w="100" w:type="dxa"/>
              <w:right w:w="100" w:type="dxa"/>
            </w:tcMar>
          </w:tcPr>
          <w:p>
            <w:pPr>
              <w:jc w:val="left"/>
            </w:pPr>
            <w:r>
              <w:rPr>
                <w:rFonts w:ascii="Arial" w:hAnsi="Arial"/>
                <w:b/>
                <w:color w:val="2B2F38"/>
                <w:sz w:val="18"/>
              </w:rPr>
              <w:t>Operational Step &amp; System Verification</w:t>
            </w:r>
          </w:p>
        </w:tc>
        <w:tc>
          <w:tcPr>
            <w:tcW w:type="dxa" w:w="3202"/>
            <w:shd w:fill="E5E7EB"/>
            <w:tcMar>
              <w:top w:w="100" w:type="dxa"/>
              <w:bottom w:w="100" w:type="dxa"/>
              <w:left w:w="100" w:type="dxa"/>
              <w:right w:w="100" w:type="dxa"/>
            </w:tcMar>
          </w:tcPr>
          <w:p>
            <w:pPr>
              <w:jc w:val="center"/>
            </w:pPr>
            <w:r>
              <w:rPr>
                <w:rFonts w:ascii="Arial" w:hAnsi="Arial"/>
                <w:b/>
                <w:color w:val="2B2F38"/>
                <w:sz w:val="18"/>
              </w:rPr>
              <w:t>Status</w:t>
            </w:r>
          </w:p>
        </w:tc>
      </w:tr>
      <w:tr>
        <w:tc>
          <w:tcPr>
            <w:tcW w:type="dxa" w:w="3202"/>
            <w:tcMar>
              <w:top w:w="100" w:type="dxa"/>
              <w:bottom w:w="100" w:type="dxa"/>
              <w:left w:w="100" w:type="dxa"/>
              <w:right w:w="100" w:type="dxa"/>
            </w:tcMar>
          </w:tcPr>
          <w:p>
            <w:r>
              <w:rPr>
                <w:rFonts w:ascii="Arial" w:hAnsi="Arial"/>
                <w:b/>
                <w:color w:val="2B2F38"/>
                <w:sz w:val="17"/>
              </w:rPr>
              <w:t>Lodge Application &amp; Case No.</w:t>
            </w:r>
          </w:p>
        </w:tc>
        <w:tc>
          <w:tcPr>
            <w:tcW w:type="dxa" w:w="3202"/>
            <w:tcMar>
              <w:top w:w="100" w:type="dxa"/>
              <w:bottom w:w="100" w:type="dxa"/>
              <w:left w:w="100" w:type="dxa"/>
              <w:right w:w="100" w:type="dxa"/>
            </w:tcMar>
          </w:tcPr>
          <w:p>
            <w:r>
              <w:rPr>
                <w:rFonts w:ascii="Arial" w:hAnsi="Arial"/>
                <w:color w:val="2B2F38"/>
                <w:sz w:val="16"/>
              </w:rPr>
              <w:t>Case Reference Number: _________________________</w:t>
              <w:br/>
              <w:t>Submission Date: DD / MM / YYYY</w:t>
            </w:r>
          </w:p>
        </w:tc>
        <w:tc>
          <w:tcPr>
            <w:tcW w:type="dxa" w:w="3202"/>
            <w:tcMar>
              <w:top w:w="100" w:type="dxa"/>
              <w:bottom w:w="100" w:type="dxa"/>
              <w:left w:w="100" w:type="dxa"/>
              <w:right w:w="100" w:type="dxa"/>
            </w:tcMar>
          </w:tcPr>
          <w:p>
            <w:pPr>
              <w:jc w:val="center"/>
            </w:pPr>
            <w:r>
              <w:rPr>
                <w:rFonts w:ascii="Arial" w:hAnsi="Arial"/>
                <w:color w:val="2B2F38"/>
                <w:sz w:val="17"/>
              </w:rPr>
              <w:t>[  ] Lodged</w:t>
            </w:r>
          </w:p>
        </w:tc>
      </w:tr>
      <w:tr>
        <w:tc>
          <w:tcPr>
            <w:tcW w:type="dxa" w:w="3202"/>
            <w:tcMar>
              <w:top w:w="100" w:type="dxa"/>
              <w:bottom w:w="100" w:type="dxa"/>
              <w:left w:w="100" w:type="dxa"/>
              <w:right w:w="100" w:type="dxa"/>
            </w:tcMar>
          </w:tcPr>
          <w:p>
            <w:r>
              <w:rPr>
                <w:rFonts w:ascii="Arial" w:hAnsi="Arial"/>
                <w:b/>
                <w:color w:val="2B2F38"/>
                <w:sz w:val="17"/>
              </w:rPr>
              <w:t>Monitor Processing Window</w:t>
            </w:r>
          </w:p>
        </w:tc>
        <w:tc>
          <w:tcPr>
            <w:tcW w:type="dxa" w:w="3202"/>
            <w:tcMar>
              <w:top w:w="100" w:type="dxa"/>
              <w:bottom w:w="100" w:type="dxa"/>
              <w:left w:w="100" w:type="dxa"/>
              <w:right w:w="100" w:type="dxa"/>
            </w:tcMar>
          </w:tcPr>
          <w:p>
            <w:r>
              <w:rPr>
                <w:rFonts w:ascii="Arial" w:hAnsi="Arial"/>
                <w:color w:val="6B7280"/>
                <w:sz w:val="16"/>
              </w:rPr>
              <w:t>SARS turnaround: 2 to 3 weeks (up to 21 business days).</w:t>
              <w:br/>
              <w:t>Scheduled Follow-up Date: DD / MM / YYYY</w:t>
            </w:r>
          </w:p>
        </w:tc>
        <w:tc>
          <w:tcPr>
            <w:tcW w:type="dxa" w:w="3202"/>
            <w:tcMar>
              <w:top w:w="100" w:type="dxa"/>
              <w:bottom w:w="100" w:type="dxa"/>
              <w:left w:w="100" w:type="dxa"/>
              <w:right w:w="100" w:type="dxa"/>
            </w:tcMar>
          </w:tcPr>
          <w:p>
            <w:pPr>
              <w:jc w:val="center"/>
            </w:pPr>
            <w:r>
              <w:rPr>
                <w:rFonts w:ascii="Arial" w:hAnsi="Arial"/>
                <w:color w:val="2B2F38"/>
                <w:sz w:val="17"/>
              </w:rPr>
              <w:t>[  ] In Progress</w:t>
            </w:r>
          </w:p>
        </w:tc>
      </w:tr>
      <w:tr>
        <w:tc>
          <w:tcPr>
            <w:tcW w:type="dxa" w:w="3202"/>
            <w:tcMar>
              <w:top w:w="100" w:type="dxa"/>
              <w:bottom w:w="100" w:type="dxa"/>
              <w:left w:w="100" w:type="dxa"/>
              <w:right w:w="100" w:type="dxa"/>
            </w:tcMar>
          </w:tcPr>
          <w:p>
            <w:r>
              <w:rPr>
                <w:rFonts w:ascii="Arial" w:hAnsi="Arial"/>
                <w:b/>
                <w:color w:val="2B2F38"/>
                <w:sz w:val="17"/>
              </w:rPr>
              <w:t>Receive SARS Approval</w:t>
            </w:r>
          </w:p>
        </w:tc>
        <w:tc>
          <w:tcPr>
            <w:tcW w:type="dxa" w:w="3202"/>
            <w:tcMar>
              <w:top w:w="100" w:type="dxa"/>
              <w:bottom w:w="100" w:type="dxa"/>
              <w:left w:w="100" w:type="dxa"/>
              <w:right w:w="100" w:type="dxa"/>
            </w:tcMar>
          </w:tcPr>
          <w:p>
            <w:r>
              <w:rPr>
                <w:rFonts w:ascii="Arial" w:hAnsi="Arial"/>
                <w:color w:val="6B7280"/>
                <w:sz w:val="16"/>
              </w:rPr>
              <w:t>Official confirmation notice received via SMS / Email from SARS.</w:t>
            </w:r>
          </w:p>
        </w:tc>
        <w:tc>
          <w:tcPr>
            <w:tcW w:type="dxa" w:w="3202"/>
            <w:tcMar>
              <w:top w:w="100" w:type="dxa"/>
              <w:bottom w:w="100" w:type="dxa"/>
              <w:left w:w="100" w:type="dxa"/>
              <w:right w:w="100" w:type="dxa"/>
            </w:tcMar>
          </w:tcPr>
          <w:p>
            <w:pPr>
              <w:jc w:val="center"/>
            </w:pPr>
            <w:r>
              <w:rPr>
                <w:rFonts w:ascii="Arial" w:hAnsi="Arial"/>
                <w:color w:val="2B2F38"/>
                <w:sz w:val="17"/>
              </w:rPr>
              <w:t>[  ] Approved</w:t>
            </w:r>
          </w:p>
        </w:tc>
      </w:tr>
      <w:tr>
        <w:tc>
          <w:tcPr>
            <w:tcW w:type="dxa" w:w="3202"/>
            <w:tcMar>
              <w:top w:w="100" w:type="dxa"/>
              <w:bottom w:w="100" w:type="dxa"/>
              <w:left w:w="100" w:type="dxa"/>
              <w:right w:w="100" w:type="dxa"/>
            </w:tcMar>
          </w:tcPr>
          <w:p>
            <w:r>
              <w:rPr>
                <w:rFonts w:ascii="Arial" w:hAnsi="Arial"/>
                <w:b/>
                <w:color w:val="2B2F38"/>
                <w:sz w:val="17"/>
              </w:rPr>
              <w:t>Activate Representative Role</w:t>
            </w:r>
          </w:p>
        </w:tc>
        <w:tc>
          <w:tcPr>
            <w:tcW w:type="dxa" w:w="3202"/>
            <w:tcMar>
              <w:top w:w="100" w:type="dxa"/>
              <w:bottom w:w="100" w:type="dxa"/>
              <w:left w:w="100" w:type="dxa"/>
              <w:right w:w="100" w:type="dxa"/>
            </w:tcMar>
          </w:tcPr>
          <w:p>
            <w:r>
              <w:rPr>
                <w:rFonts w:ascii="Arial" w:hAnsi="Arial"/>
                <w:color w:val="6B7280"/>
                <w:sz w:val="16"/>
              </w:rPr>
              <w:t>Log into SARS eFiling, navigate to User Profile, and accept Registered Representative mandate.</w:t>
            </w:r>
          </w:p>
        </w:tc>
        <w:tc>
          <w:tcPr>
            <w:tcW w:type="dxa" w:w="3202"/>
            <w:tcMar>
              <w:top w:w="100" w:type="dxa"/>
              <w:bottom w:w="100" w:type="dxa"/>
              <w:left w:w="100" w:type="dxa"/>
              <w:right w:w="100" w:type="dxa"/>
            </w:tcMar>
          </w:tcPr>
          <w:p>
            <w:pPr>
              <w:jc w:val="center"/>
            </w:pPr>
            <w:r>
              <w:rPr>
                <w:rFonts w:ascii="Arial" w:hAnsi="Arial"/>
                <w:color w:val="2B2F38"/>
                <w:sz w:val="17"/>
              </w:rPr>
              <w:t>[  ] Activated</w:t>
            </w:r>
          </w:p>
        </w:tc>
      </w:tr>
      <w:tr>
        <w:tc>
          <w:tcPr>
            <w:tcW w:type="dxa" w:w="3202"/>
            <w:tcMar>
              <w:top w:w="100" w:type="dxa"/>
              <w:bottom w:w="100" w:type="dxa"/>
              <w:left w:w="100" w:type="dxa"/>
              <w:right w:w="100" w:type="dxa"/>
            </w:tcMar>
          </w:tcPr>
          <w:p>
            <w:r>
              <w:rPr>
                <w:rFonts w:ascii="Arial" w:hAnsi="Arial"/>
                <w:b/>
                <w:color w:val="2B2F38"/>
                <w:sz w:val="17"/>
              </w:rPr>
              <w:t>Link Corporate Tax Portfolio</w:t>
            </w:r>
          </w:p>
        </w:tc>
        <w:tc>
          <w:tcPr>
            <w:tcW w:type="dxa" w:w="3202"/>
            <w:tcMar>
              <w:top w:w="100" w:type="dxa"/>
              <w:bottom w:w="100" w:type="dxa"/>
              <w:left w:w="100" w:type="dxa"/>
              <w:right w:w="100" w:type="dxa"/>
            </w:tcMar>
          </w:tcPr>
          <w:p>
            <w:r>
              <w:rPr>
                <w:rFonts w:ascii="Arial" w:hAnsi="Arial"/>
                <w:color w:val="6B7280"/>
                <w:sz w:val="16"/>
              </w:rPr>
              <w:t>Add company tax reference under 'Organisations' to unlock VAT, EMP201, and Tax Clearance PINs.</w:t>
            </w:r>
          </w:p>
        </w:tc>
        <w:tc>
          <w:tcPr>
            <w:tcW w:type="dxa" w:w="3202"/>
            <w:tcMar>
              <w:top w:w="100" w:type="dxa"/>
              <w:bottom w:w="100" w:type="dxa"/>
              <w:left w:w="100" w:type="dxa"/>
              <w:right w:w="100" w:type="dxa"/>
            </w:tcMar>
          </w:tcPr>
          <w:p>
            <w:pPr>
              <w:jc w:val="center"/>
            </w:pPr>
            <w:r>
              <w:rPr>
                <w:rFonts w:ascii="Arial" w:hAnsi="Arial"/>
                <w:color w:val="2B2F38"/>
                <w:sz w:val="17"/>
              </w:rPr>
              <w:t>[  ] Complete</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TAX &amp; COMPLIANCE</w:t>
            <w:br/>
          </w:r>
          <w:r>
            <w:rPr>
              <w:rFonts w:ascii="Arial" w:hAnsi="Arial"/>
              <w:b/>
              <w:color w:val="2B2F38"/>
              <w:sz w:val="18"/>
            </w:rPr>
            <w:t>WORKSHEET 2.5</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